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start="0" w:end="0" w:firstLine="720"/>
        <w:jc w:val="start"/>
        <w:rPr>
          <w:rFonts w:ascii="Times New Roman" w:hAnsi="Times New Roman"/>
          <w:sz w:val="22"/>
          <w:szCs w:val="22"/>
        </w:rPr>
      </w:pPr>
      <w:r>
        <w:rPr/>
        <w:drawing>
          <wp:inline distT="0" distB="0" distL="0" distR="0">
            <wp:extent cx="5296535" cy="789940"/>
            <wp:effectExtent l="0" t="0" r="0" b="0"/>
            <wp:docPr id="1" name="sigl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descr="" title=""/>
                    <pic:cNvPicPr>
                      <a:picLocks noChangeAspect="1" noChangeArrowheads="1"/>
                    </pic:cNvPicPr>
                  </pic:nvPicPr>
                  <pic:blipFill>
                    <a:blip r:embed="rId2"/>
                    <a:srcRect l="-8" t="-55" r="-8" b="-55"/>
                    <a:stretch>
                      <a:fillRect/>
                    </a:stretch>
                  </pic:blipFill>
                  <pic:spPr bwMode="auto">
                    <a:xfrm>
                      <a:off x="0" y="0"/>
                      <a:ext cx="5296535" cy="789940"/>
                    </a:xfrm>
                    <a:prstGeom prst="rect">
                      <a:avLst/>
                    </a:prstGeom>
                  </pic:spPr>
                </pic:pic>
              </a:graphicData>
            </a:graphic>
          </wp:inline>
        </w:drawing>
      </w:r>
    </w:p>
    <w:p>
      <w:pPr>
        <w:pStyle w:val="Normal"/>
        <w:bidi w:val="0"/>
        <w:ind w:start="0" w:end="0" w:firstLine="720"/>
        <w:jc w:val="start"/>
        <w:rPr>
          <w:rFonts w:ascii="Times New Roman" w:hAnsi="Times New Roman"/>
          <w:sz w:val="22"/>
          <w:szCs w:val="22"/>
        </w:rPr>
      </w:pPr>
      <w:r>
        <w:rPr>
          <w:rFonts w:ascii="Times New Roman" w:hAnsi="Times New Roman"/>
          <w:sz w:val="22"/>
          <w:szCs w:val="22"/>
        </w:rPr>
      </w:r>
    </w:p>
    <w:p>
      <w:pPr>
        <w:pStyle w:val="Normal"/>
        <w:bidi w:val="0"/>
        <w:ind w:start="0" w:end="0" w:firstLine="720"/>
        <w:jc w:val="start"/>
        <w:rPr>
          <w:rFonts w:ascii="Times New Roman" w:hAnsi="Times New Roman"/>
          <w:sz w:val="22"/>
          <w:szCs w:val="22"/>
        </w:rPr>
      </w:pPr>
      <w:r>
        <w:rPr>
          <w:rFonts w:ascii="Times New Roman" w:hAnsi="Times New Roman"/>
          <w:sz w:val="22"/>
          <w:szCs w:val="22"/>
        </w:rPr>
        <w:t xml:space="preserve">Nr. </w:t>
      </w:r>
      <w:r>
        <w:rPr>
          <w:rFonts w:ascii="Times New Roman" w:hAnsi="Times New Roman"/>
          <w:sz w:val="22"/>
          <w:szCs w:val="22"/>
          <w:lang w:val="ro-RO"/>
        </w:rPr>
        <w:t xml:space="preserve">DG 12615 </w:t>
      </w:r>
      <w:r>
        <w:rPr>
          <w:rFonts w:ascii="Times New Roman" w:hAnsi="Times New Roman"/>
          <w:sz w:val="22"/>
          <w:szCs w:val="22"/>
        </w:rPr>
        <w:t>din 03</w:t>
      </w:r>
      <w:r>
        <w:rPr>
          <w:rFonts w:ascii="Times New Roman" w:hAnsi="Times New Roman"/>
          <w:sz w:val="22"/>
          <w:szCs w:val="22"/>
          <w:lang w:val="ro-RO"/>
        </w:rPr>
        <w:t>. 09. 2024</w:t>
      </w:r>
    </w:p>
    <w:p>
      <w:pPr>
        <w:pStyle w:val="Normal"/>
        <w:bidi w:val="0"/>
        <w:ind w:start="0" w:end="0" w:firstLine="720"/>
        <w:jc w:val="start"/>
        <w:rPr>
          <w:rFonts w:ascii="Times New Roman" w:hAnsi="Times New Roman"/>
          <w:sz w:val="22"/>
          <w:szCs w:val="22"/>
        </w:rPr>
      </w:pPr>
      <w:r>
        <w:rPr>
          <w:rFonts w:ascii="Times New Roman" w:hAnsi="Times New Roman"/>
          <w:sz w:val="22"/>
          <w:szCs w:val="22"/>
        </w:rPr>
      </w:r>
    </w:p>
    <w:p>
      <w:pPr>
        <w:pStyle w:val="Normal"/>
        <w:bidi w:val="0"/>
        <w:ind w:start="0" w:end="0" w:firstLine="720"/>
        <w:jc w:val="start"/>
        <w:rPr>
          <w:rFonts w:ascii="Times New Roman" w:hAnsi="Times New Roman"/>
          <w:sz w:val="22"/>
          <w:szCs w:val="22"/>
        </w:rPr>
      </w:pPr>
      <w:r>
        <w:rPr>
          <w:rFonts w:ascii="Times New Roman" w:hAnsi="Times New Roman"/>
          <w:sz w:val="22"/>
          <w:szCs w:val="22"/>
        </w:rPr>
      </w:r>
    </w:p>
    <w:p>
      <w:pPr>
        <w:pStyle w:val="Normal"/>
        <w:bidi w:val="0"/>
        <w:ind w:firstLine="720"/>
        <w:jc w:val="center"/>
        <w:rPr>
          <w:sz w:val="32"/>
          <w:szCs w:val="32"/>
        </w:rPr>
      </w:pPr>
      <w:r>
        <w:rPr>
          <w:b/>
          <w:sz w:val="32"/>
          <w:szCs w:val="32"/>
        </w:rPr>
        <w:t>ÎN ATENȚIA</w:t>
      </w:r>
    </w:p>
    <w:p>
      <w:pPr>
        <w:pStyle w:val="Normal"/>
        <w:bidi w:val="0"/>
        <w:ind w:firstLine="720"/>
        <w:jc w:val="center"/>
        <w:rPr>
          <w:lang w:val="en-US"/>
        </w:rPr>
      </w:pPr>
      <w:r>
        <w:rPr>
          <w:b/>
          <w:bCs/>
          <w:sz w:val="32"/>
          <w:szCs w:val="32"/>
          <w:lang w:val="en-US"/>
        </w:rPr>
        <w:t>FURNIZORILOR DE SERVICII MEDICALE</w:t>
      </w:r>
    </w:p>
    <w:p>
      <w:pPr>
        <w:pStyle w:val="Normal"/>
        <w:bidi w:val="0"/>
        <w:ind w:firstLine="720"/>
        <w:jc w:val="center"/>
        <w:rPr>
          <w:lang w:val="en-US"/>
        </w:rPr>
      </w:pPr>
      <w:r>
        <w:rPr>
          <w:b/>
          <w:bCs/>
          <w:sz w:val="32"/>
          <w:szCs w:val="32"/>
          <w:lang w:val="en-US"/>
        </w:rPr>
        <w:t>AFLA</w:t>
      </w:r>
      <w:r>
        <w:rPr>
          <w:b/>
          <w:bCs/>
          <w:sz w:val="32"/>
          <w:szCs w:val="32"/>
          <w:lang w:val="ro-RO"/>
        </w:rPr>
        <w:t>ȚI ÎN RELAȚIE CONTRACTUALĂ CU CAS NEAMȚ</w:t>
      </w:r>
    </w:p>
    <w:p>
      <w:pPr>
        <w:pStyle w:val="Normal"/>
        <w:bidi w:val="0"/>
        <w:ind w:firstLine="720"/>
        <w:jc w:val="center"/>
        <w:rPr>
          <w:b/>
          <w:bCs/>
          <w:sz w:val="32"/>
          <w:szCs w:val="32"/>
          <w:lang w:val="ro-RO"/>
        </w:rPr>
      </w:pPr>
      <w:r>
        <w:rPr>
          <w:b/>
          <w:bCs/>
          <w:sz w:val="32"/>
          <w:szCs w:val="32"/>
          <w:lang w:val="ro-RO"/>
        </w:rPr>
      </w:r>
    </w:p>
    <w:p>
      <w:pPr>
        <w:pStyle w:val="Normal"/>
        <w:bidi w:val="0"/>
        <w:ind w:hanging="0"/>
        <w:jc w:val="center"/>
        <w:rPr>
          <w:b/>
          <w:sz w:val="28"/>
          <w:szCs w:val="28"/>
        </w:rPr>
      </w:pPr>
      <w:r>
        <w:rPr>
          <w:b/>
          <w:sz w:val="28"/>
          <w:szCs w:val="28"/>
        </w:rPr>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În Monitorul Oficial al României nr. 876/ 30. 08. 2024 a fost publicată OG nr. 44/ 2024 pentru modificarea şi completarea unor acte normative şi stabilirea unor măsuri în domeniul sănătăţii.</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Prin acest act normativ sunt modificate și dispozițiile art. 391 din Legea nr. 95/ 2006 privind reforma în domeniul sănătății, care are următorul cuprins:</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ART. 391</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(1) Medicii se pot pensiona în condiţiile prevăzute de legislaţia privind sistemul public de pensii.</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(2) Medicii pot continua activitatea până la împlinirea vârstei de 70 de ani, cu acordul anual al angajatorului sau prin notificarea casei de asigurări de sănătate de către medicul care se află în relaţie contractuală în mod direct cu aceasta. Medicul va notifica casa de asigurări de sănătate cu care se află în relaţie contractuală, cu cel puţin 30 de zile înainte de împlinirea vârstei standard de pensionare prevăzute de legislaţia privind sistemul public de pensii.</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(3) Medicii care au depăşit limita de vârstă de 70 de ani prevăzută de legislaţia privind sistemul public de pensii pot profesa în continuare în unităţi sanitare private.</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(4) Desfăşurarea activităţii medicilor după împlinirea vârstei standard de pensionare se face în baza certificatului de membru şi a avizului anual al CMR, eliberat pe baza certificatului de sănătate şi a asigurării de răspundere civilă pentru greşeli în activitatea profesională, încheiată pentru anul respectiv.</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(5) Prin excepţie de la prevederile alin. (2), medicii titulari ai cabinetelor de medicină de familie din mediul rural, care îşi desfăşoară activitatea în relaţie contractuală cu casele de asigurări de sănătate judeţene, îşi pot continua activitatea în aceleaşi condiţii, după împlinirea vârstei de pensionare, la cerere, cu aviz anual eliberat de direcţia de sănătate publică judeţeană şi de CMR, prin colegiile judeţene ale medicilor, pe baza certificatului de sănătate.</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(6) În cazul unităţilor sanitare publice care înregistrează deficit de personal medical, precum şi al unităţilor sanitare publice aflate în zone defavorizate, medicii îşi pot continua activitatea peste vârsta de 70 de ani prevăzută de legislaţia privind sistemul public de pensii, la propunerea unităţii sanitare publice, cu avizul anual al CMR, prin colegiile teritoriale judeţene, respectiv al municipiului Bucureşti şi cu aprobarea ordonatorului principal de credite, până la ocuparea posturilor prin concurs.</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(7) Medicii deţinuţi sau internaţi din motive politice, aflaţi în situaţiile prevăzute la art. 1 alin. (1) şi (2) din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pot fi menţinuţi, la cerere, în activitatea profesională, pe baza certificatului anual de sănătate. Aceste prevederi se aplică şi medicilor care, din motive politice, au fost obligaţi să îşi întrerupă studiile o anumită perioadă, obţinându-şi licenţa cu întârziere, ori celor care au fost împiedicaţi să îşi reia activitatea profesională.</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(8) Medicii care au împlinit vârsta prevăzută la alin. (2) nu pot deţine funcţii de conducere în cadrul CNAS şi al caselor de asigurări de sănătate.</w:t>
      </w:r>
    </w:p>
    <w:p>
      <w:pPr>
        <w:pStyle w:val="Normal"/>
        <w:widowControl/>
        <w:suppressAutoHyphens w:val="true"/>
        <w:bidi w:val="0"/>
        <w:spacing w:before="0" w:after="0"/>
        <w:ind w:start="0" w:end="0" w:firstLine="720"/>
        <w:jc w:val="both"/>
        <w:rPr>
          <w:rFonts w:ascii="Times New Roman" w:hAnsi="Times New Roman"/>
          <w:sz w:val="24"/>
          <w:szCs w:val="24"/>
        </w:rPr>
      </w:pPr>
      <w:r>
        <w:rPr>
          <w:rFonts w:ascii="Times New Roman" w:hAnsi="Times New Roman"/>
          <w:sz w:val="24"/>
          <w:szCs w:val="24"/>
        </w:rPr>
        <w:t>(9) În unităţile sanitare publice, medicii membri titulari, membri corespondenţi şi membri de onoare ai Academiei Române şi ai Academiei de Ştiinţe Medicale, cetăţeni români, profesorii universitari şi cercetătorii ştiinţifici gradul I, doctorii în ştiinţe medicale, care desfăşoară activităţi medicale, continuă, la cerere, activitatea medicală până la împlinirea vârstei de 70 de ani. Peste această vârstă medicii, membri titulari, membri corespondenţi şi membri de onoare ai Academiei de Ştiinţe Medicale, cetăţeni români, pot fi menţinuţi în activitate conform dispoziţiilor art. 10 alin. (2) din Legea nr. 264/2004 privind organizarea şi funcţionarea Academiei de Ştiinţe Medicale, cu modificările şi completările ulterioare. De acelaşi drept pot beneficia şi medicii, membri titulari, membri corespondenţi şi membri de onoare ai Academiei Române, cetăţeni români."</w:t>
      </w:r>
    </w:p>
    <w:p>
      <w:pPr>
        <w:pStyle w:val="Normal"/>
        <w:widowControl/>
        <w:suppressAutoHyphens w:val="true"/>
        <w:bidi w:val="0"/>
        <w:spacing w:before="0" w:after="0"/>
        <w:ind w:start="0" w:end="0" w:firstLine="720"/>
        <w:jc w:val="both"/>
        <w:rPr>
          <w:rFonts w:ascii="Times New Roman" w:hAnsi="Times New Roman"/>
          <w:sz w:val="24"/>
          <w:szCs w:val="24"/>
          <w:lang w:val="ro-RO"/>
        </w:rPr>
      </w:pPr>
      <w:r>
        <w:rPr>
          <w:rFonts w:ascii="Times New Roman" w:hAnsi="Times New Roman"/>
          <w:sz w:val="24"/>
          <w:szCs w:val="24"/>
          <w:lang w:val="ro-RO"/>
        </w:rPr>
        <w:t xml:space="preserve">Textul integral al OG nr. 44/ 2024 este postat pe site-ul CAS NEAMȚ, </w:t>
      </w:r>
      <w:hyperlink r:id="rId3">
        <w:r>
          <w:rPr>
            <w:rStyle w:val="InternetLink"/>
            <w:rFonts w:ascii="Times New Roman" w:hAnsi="Times New Roman"/>
            <w:sz w:val="24"/>
            <w:szCs w:val="24"/>
            <w:lang w:val="ro-RO"/>
          </w:rPr>
          <w:t>www.casnt.ro</w:t>
        </w:r>
      </w:hyperlink>
      <w:r>
        <w:rPr>
          <w:rFonts w:ascii="Times New Roman" w:hAnsi="Times New Roman"/>
          <w:sz w:val="24"/>
          <w:szCs w:val="24"/>
          <w:lang w:val="ro-RO"/>
        </w:rPr>
        <w:t>, în secțiunea ”informații pentru furnizori – formulare și machete”.</w:t>
      </w:r>
    </w:p>
    <w:p>
      <w:pPr>
        <w:pStyle w:val="Normal"/>
        <w:bidi w:val="0"/>
        <w:ind w:firstLine="720"/>
        <w:jc w:val="both"/>
        <w:rPr>
          <w:rFonts w:ascii="Times New Roman" w:hAnsi="Times New Roman"/>
          <w:sz w:val="24"/>
          <w:szCs w:val="24"/>
          <w:lang w:val="ro-RO"/>
        </w:rPr>
      </w:pPr>
      <w:r>
        <w:rPr>
          <w:rFonts w:ascii="Times New Roman" w:hAnsi="Times New Roman"/>
          <w:sz w:val="24"/>
          <w:szCs w:val="24"/>
          <w:lang w:val="ro-RO"/>
        </w:rPr>
      </w:r>
    </w:p>
    <w:p>
      <w:pPr>
        <w:pStyle w:val="Normal"/>
        <w:bidi w:val="0"/>
        <w:ind w:start="0" w:end="0" w:firstLine="720"/>
        <w:jc w:val="both"/>
        <w:rPr>
          <w:b/>
          <w:sz w:val="28"/>
          <w:szCs w:val="28"/>
        </w:rPr>
      </w:pPr>
      <w:r>
        <w:rPr>
          <w:b/>
          <w:sz w:val="28"/>
          <w:szCs w:val="28"/>
        </w:rPr>
      </w:r>
    </w:p>
    <w:p>
      <w:pPr>
        <w:pStyle w:val="Normal"/>
        <w:bidi w:val="0"/>
        <w:ind w:firstLine="720"/>
        <w:jc w:val="center"/>
        <w:rPr/>
      </w:pPr>
      <w:r>
        <w:rPr>
          <w:sz w:val="22"/>
          <w:szCs w:val="22"/>
        </w:rPr>
        <w:t>Director general,</w:t>
      </w:r>
    </w:p>
    <w:p>
      <w:pPr>
        <w:pStyle w:val="Normal"/>
        <w:bidi w:val="0"/>
        <w:ind w:firstLine="720"/>
        <w:jc w:val="center"/>
        <w:rPr>
          <w:sz w:val="22"/>
          <w:szCs w:val="22"/>
        </w:rPr>
      </w:pPr>
      <w:r>
        <w:rPr/>
        <w:t>jr. Elena Nadia Harpa</w:t>
      </w:r>
    </w:p>
    <w:p>
      <w:pPr>
        <w:pStyle w:val="Normal"/>
        <w:bidi w:val="0"/>
        <w:ind w:firstLine="720"/>
        <w:jc w:val="both"/>
        <w:rPr>
          <w:b/>
          <w:sz w:val="28"/>
          <w:szCs w:val="28"/>
        </w:rPr>
      </w:pPr>
      <w:r>
        <w:rPr>
          <w:b/>
          <w:sz w:val="28"/>
          <w:szCs w:val="28"/>
        </w:rPr>
      </w:r>
    </w:p>
    <w:p>
      <w:pPr>
        <w:pStyle w:val="Normal"/>
        <w:bidi w:val="0"/>
        <w:ind w:start="0" w:end="0" w:firstLine="720"/>
        <w:jc w:val="start"/>
        <w:rPr>
          <w:rFonts w:ascii="Times New Roman" w:hAnsi="Times New Roman"/>
          <w:sz w:val="22"/>
          <w:szCs w:val="22"/>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0" w:characterSet="windows-1252"/>
    <w:family w:val="swiss"/>
    <w:pitch w:val="variable"/>
  </w:font>
  <w:font w:name="Liberation Sans">
    <w:altName w:val="Arial"/>
    <w:charset w:val="00" w:characterSet="windows-1252"/>
    <w:family w:val="roman"/>
    <w:pitch w:val="variable"/>
  </w:font>
  <w:font w:name="Liberation Mono">
    <w:altName w:val="Courier New"/>
    <w:charset w:val="00" w:characterSet="windows-1252"/>
    <w:family w:val="roman"/>
    <w:pitch w:val="variable"/>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NSimSun" w:cs="Lucida Sans"/>
      <w:b/>
      <w:bCs/>
      <w:sz w:val="28"/>
      <w:szCs w:val="28"/>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WW-DefaultParagraphFont1">
    <w:name w:val="WW-Default Paragraph Font1"/>
    <w:qFormat/>
    <w:rPr/>
  </w:style>
  <w:style w:type="character" w:styleId="VisitedInternetLink">
    <w:name w:val="FollowedHyperlink"/>
    <w:basedOn w:val="WW-DefaultParagraphFont1"/>
    <w:rPr>
      <w:color w:val="8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casnt.ro/"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LibreOffice/7.5.4.2$Windows_X86_64 LibreOffice_project/36ccfdc35048b057fd9854c757a8b67ec53977b6</Application>
  <AppVersion>15.0000</AppVersion>
  <Pages>2</Pages>
  <Words>663</Words>
  <Characters>3808</Characters>
  <CharactersWithSpaces>4453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2024-07-10T09:38:24Z</dcterms:created>
  <dc:creator/>
  <dc:description/>
  <dc:language>en-US</dc:language>
  <cp:lastModifiedBy/>
  <cp:lastPrinted>2024-09-03T09:03:07Z</cp:lastPrinted>
  <dcterms:modified xsi:type="dcterms:W3CDTF">2024-09-03T10:39:23Z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